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A96E" w14:textId="61C091D3" w:rsidR="5851D20B" w:rsidRPr="002A1176" w:rsidRDefault="5851D20B" w:rsidP="5851D20B">
      <w:pPr>
        <w:rPr>
          <w:rFonts w:ascii="Calibri" w:hAnsi="Calibri" w:cs="Calibri"/>
          <w:b/>
          <w:bCs/>
          <w:sz w:val="22"/>
          <w:szCs w:val="22"/>
        </w:rPr>
      </w:pPr>
    </w:p>
    <w:p w14:paraId="6E1912BD" w14:textId="3F3333DE" w:rsidR="52019C60" w:rsidRPr="002A1176" w:rsidRDefault="52019C60" w:rsidP="002A117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2A1176">
        <w:rPr>
          <w:rFonts w:ascii="Calibri" w:hAnsi="Calibri" w:cs="Calibri"/>
          <w:b/>
          <w:bCs/>
          <w:sz w:val="22"/>
          <w:szCs w:val="22"/>
        </w:rPr>
        <w:t xml:space="preserve">Lista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kandydatów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5346A38C" w:rsidRPr="002A1176">
        <w:rPr>
          <w:rFonts w:ascii="Calibri" w:hAnsi="Calibri" w:cs="Calibri"/>
          <w:b/>
          <w:bCs/>
          <w:sz w:val="22"/>
          <w:szCs w:val="22"/>
        </w:rPr>
        <w:t xml:space="preserve">do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Senatu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Akademii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Sztuk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Pięknych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im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. Jana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Matejki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Krakowie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A1176">
        <w:rPr>
          <w:rFonts w:ascii="Calibri" w:hAnsi="Calibri" w:cs="Calibri"/>
          <w:b/>
          <w:bCs/>
          <w:sz w:val="22"/>
          <w:szCs w:val="22"/>
        </w:rPr>
        <w:t>Grupa</w:t>
      </w:r>
      <w:proofErr w:type="spellEnd"/>
      <w:r w:rsidRPr="002A1176">
        <w:rPr>
          <w:rFonts w:ascii="Calibri" w:hAnsi="Calibri" w:cs="Calibri"/>
          <w:b/>
          <w:bCs/>
          <w:sz w:val="22"/>
          <w:szCs w:val="22"/>
        </w:rPr>
        <w:t xml:space="preserve">: </w:t>
      </w:r>
      <w:proofErr w:type="spellStart"/>
      <w:r w:rsidR="1B773260" w:rsidRPr="002A1176">
        <w:rPr>
          <w:rFonts w:ascii="Calibri" w:hAnsi="Calibri" w:cs="Calibri"/>
          <w:b/>
          <w:bCs/>
          <w:sz w:val="22"/>
          <w:szCs w:val="22"/>
        </w:rPr>
        <w:t>młodsi</w:t>
      </w:r>
      <w:proofErr w:type="spellEnd"/>
      <w:r w:rsidR="1B773260" w:rsidRPr="002A117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1B773260" w:rsidRPr="002A1176">
        <w:rPr>
          <w:rFonts w:ascii="Calibri" w:hAnsi="Calibri" w:cs="Calibri"/>
          <w:b/>
          <w:bCs/>
          <w:sz w:val="22"/>
          <w:szCs w:val="22"/>
        </w:rPr>
        <w:t>wykładowcy</w:t>
      </w:r>
      <w:proofErr w:type="spellEnd"/>
      <w:r w:rsidRPr="002A1176">
        <w:rPr>
          <w:rFonts w:ascii="Calibri" w:hAnsi="Calibri" w:cs="Calibri"/>
          <w:sz w:val="22"/>
          <w:szCs w:val="22"/>
        </w:rPr>
        <w:br/>
      </w:r>
    </w:p>
    <w:p w14:paraId="59B40196" w14:textId="50053ABD" w:rsidR="5851D20B" w:rsidRPr="002A1176" w:rsidRDefault="0FFFEA6B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color w:val="000000" w:themeColor="text1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inż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. arch. Wojciech </w:t>
      </w: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Kopeć</w:t>
      </w:r>
      <w:proofErr w:type="spellEnd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>Okręg</w:t>
      </w:r>
      <w:proofErr w:type="spellEnd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I – </w:t>
      </w:r>
      <w:proofErr w:type="spellStart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>Wydział</w:t>
      </w:r>
      <w:proofErr w:type="spellEnd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>Malarstwa</w:t>
      </w:r>
      <w:proofErr w:type="spellEnd"/>
      <w:r w:rsidR="3649F4A5" w:rsidRPr="002A1176">
        <w:rPr>
          <w:rFonts w:ascii="Calibri" w:eastAsia="Aptos" w:hAnsi="Calibri" w:cs="Calibri"/>
          <w:color w:val="000000" w:themeColor="text1"/>
          <w:sz w:val="22"/>
          <w:szCs w:val="22"/>
        </w:rPr>
        <w:t>)</w:t>
      </w:r>
    </w:p>
    <w:p w14:paraId="445AFF22" w14:textId="3211F3B6" w:rsidR="5851D20B" w:rsidRPr="002A1176" w:rsidRDefault="204FDF07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242424"/>
          <w:sz w:val="22"/>
          <w:szCs w:val="22"/>
        </w:rPr>
        <w:t xml:space="preserve"> Mariusz </w:t>
      </w: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Sołtysik</w:t>
      </w:r>
      <w:proofErr w:type="spellEnd"/>
      <w:r w:rsidRPr="002A1176">
        <w:rPr>
          <w:rFonts w:ascii="Calibri" w:eastAsia="Aptos" w:hAnsi="Calibri" w:cs="Calibri"/>
          <w:color w:val="242424"/>
          <w:sz w:val="22"/>
          <w:szCs w:val="22"/>
        </w:rPr>
        <w:t xml:space="preserve"> (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Okręg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VII –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Wydział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Intermediów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>)</w:t>
      </w:r>
    </w:p>
    <w:p w14:paraId="01EC0C40" w14:textId="03336832" w:rsidR="5851D20B" w:rsidRPr="002A1176" w:rsidRDefault="42B1BA20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Katarzyna </w:t>
      </w: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Stępień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Okręg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V –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Wydział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Konserwacji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i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Restauracji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Dzieł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Sztuki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>)</w:t>
      </w:r>
    </w:p>
    <w:p w14:paraId="512F29C4" w14:textId="10205FBD" w:rsidR="5851D20B" w:rsidRPr="002A1176" w:rsidRDefault="11EC69B6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Bożydar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>Tobiasz</w:t>
      </w:r>
      <w:proofErr w:type="spellEnd"/>
      <w:r w:rsidRPr="002A1176">
        <w:rPr>
          <w:rFonts w:ascii="Calibri" w:eastAsia="Aptos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Okręg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VI –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Wydział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Form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Przemysłowych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>)</w:t>
      </w:r>
    </w:p>
    <w:p w14:paraId="0F8B5C07" w14:textId="3D44931E" w:rsidR="5851D20B" w:rsidRPr="002A1176" w:rsidRDefault="11EC69B6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242424"/>
          <w:sz w:val="22"/>
          <w:szCs w:val="22"/>
        </w:rPr>
        <w:t xml:space="preserve"> Tomasz </w:t>
      </w: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Westrych</w:t>
      </w:r>
      <w:proofErr w:type="spellEnd"/>
      <w:r w:rsidRPr="002A1176">
        <w:rPr>
          <w:rFonts w:ascii="Calibri" w:eastAsia="Aptos" w:hAnsi="Calibri" w:cs="Calibri"/>
          <w:color w:val="242424"/>
          <w:sz w:val="22"/>
          <w:szCs w:val="22"/>
        </w:rPr>
        <w:t xml:space="preserve"> (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Okręg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IV –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Wydział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Architektury</w:t>
      </w:r>
      <w:proofErr w:type="spellEnd"/>
      <w:r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Pr="002A1176">
        <w:rPr>
          <w:rFonts w:ascii="Calibri" w:eastAsia="Aptos" w:hAnsi="Calibri" w:cs="Calibri"/>
          <w:sz w:val="22"/>
          <w:szCs w:val="22"/>
        </w:rPr>
        <w:t>Wnętrz</w:t>
      </w:r>
      <w:proofErr w:type="spellEnd"/>
      <w:r w:rsidR="0A788C0E" w:rsidRPr="002A1176">
        <w:rPr>
          <w:rFonts w:ascii="Calibri" w:eastAsia="Aptos" w:hAnsi="Calibri" w:cs="Calibri"/>
          <w:sz w:val="22"/>
          <w:szCs w:val="22"/>
        </w:rPr>
        <w:t>)</w:t>
      </w:r>
    </w:p>
    <w:p w14:paraId="48259CA6" w14:textId="71F9B879" w:rsidR="5851D20B" w:rsidRPr="002A1176" w:rsidRDefault="212A156D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242424"/>
          <w:sz w:val="22"/>
          <w:szCs w:val="22"/>
        </w:rPr>
        <w:t xml:space="preserve"> Bartłomiej </w:t>
      </w: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Węgrzyn</w:t>
      </w:r>
      <w:proofErr w:type="spellEnd"/>
      <w:r w:rsidR="3814C18F" w:rsidRPr="002A1176">
        <w:rPr>
          <w:rFonts w:ascii="Calibri" w:eastAsia="Aptos" w:hAnsi="Calibri" w:cs="Calibri"/>
          <w:color w:val="242424"/>
          <w:sz w:val="22"/>
          <w:szCs w:val="22"/>
        </w:rPr>
        <w:t xml:space="preserve"> </w:t>
      </w:r>
      <w:r w:rsidR="54414C6F" w:rsidRPr="002A1176">
        <w:rPr>
          <w:rFonts w:ascii="Calibri" w:eastAsia="Aptos" w:hAnsi="Calibri" w:cs="Calibri"/>
          <w:color w:val="242424"/>
          <w:sz w:val="22"/>
          <w:szCs w:val="22"/>
        </w:rPr>
        <w:t>(</w:t>
      </w:r>
      <w:proofErr w:type="spellStart"/>
      <w:r w:rsidR="54414C6F" w:rsidRPr="002A1176">
        <w:rPr>
          <w:rFonts w:ascii="Calibri" w:eastAsia="Aptos" w:hAnsi="Calibri" w:cs="Calibri"/>
          <w:sz w:val="22"/>
          <w:szCs w:val="22"/>
        </w:rPr>
        <w:t>Okręg</w:t>
      </w:r>
      <w:proofErr w:type="spellEnd"/>
      <w:r w:rsidR="54414C6F" w:rsidRPr="002A1176">
        <w:rPr>
          <w:rFonts w:ascii="Calibri" w:eastAsia="Aptos" w:hAnsi="Calibri" w:cs="Calibri"/>
          <w:sz w:val="22"/>
          <w:szCs w:val="22"/>
        </w:rPr>
        <w:t xml:space="preserve"> II – </w:t>
      </w:r>
      <w:proofErr w:type="spellStart"/>
      <w:r w:rsidR="54414C6F" w:rsidRPr="002A1176">
        <w:rPr>
          <w:rFonts w:ascii="Calibri" w:eastAsia="Aptos" w:hAnsi="Calibri" w:cs="Calibri"/>
          <w:sz w:val="22"/>
          <w:szCs w:val="22"/>
        </w:rPr>
        <w:t>Wydział</w:t>
      </w:r>
      <w:proofErr w:type="spellEnd"/>
      <w:r w:rsidR="54414C6F"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="54414C6F" w:rsidRPr="002A1176">
        <w:rPr>
          <w:rFonts w:ascii="Calibri" w:eastAsia="Aptos" w:hAnsi="Calibri" w:cs="Calibri"/>
          <w:sz w:val="22"/>
          <w:szCs w:val="22"/>
        </w:rPr>
        <w:t>Rzeźby</w:t>
      </w:r>
      <w:proofErr w:type="spellEnd"/>
      <w:r w:rsidR="54414C6F" w:rsidRPr="002A1176">
        <w:rPr>
          <w:rFonts w:ascii="Calibri" w:eastAsia="Aptos" w:hAnsi="Calibri" w:cs="Calibri"/>
          <w:sz w:val="22"/>
          <w:szCs w:val="22"/>
        </w:rPr>
        <w:t>)</w:t>
      </w:r>
    </w:p>
    <w:p w14:paraId="07FADB83" w14:textId="0504705D" w:rsidR="5851D20B" w:rsidRPr="002A1176" w:rsidRDefault="0D130808" w:rsidP="002A11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Calibri" w:eastAsia="Aptos" w:hAnsi="Calibri" w:cs="Calibri"/>
          <w:sz w:val="22"/>
          <w:szCs w:val="22"/>
        </w:rPr>
      </w:pP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dr</w:t>
      </w:r>
      <w:proofErr w:type="spellEnd"/>
      <w:r w:rsidRPr="002A1176">
        <w:rPr>
          <w:rFonts w:ascii="Calibri" w:eastAsia="Aptos" w:hAnsi="Calibri" w:cs="Calibri"/>
          <w:color w:val="242424"/>
          <w:sz w:val="22"/>
          <w:szCs w:val="22"/>
        </w:rPr>
        <w:t xml:space="preserve"> Tomasz </w:t>
      </w:r>
      <w:proofErr w:type="spellStart"/>
      <w:r w:rsidRPr="002A1176">
        <w:rPr>
          <w:rFonts w:ascii="Calibri" w:eastAsia="Aptos" w:hAnsi="Calibri" w:cs="Calibri"/>
          <w:color w:val="242424"/>
          <w:sz w:val="22"/>
          <w:szCs w:val="22"/>
        </w:rPr>
        <w:t>Winiarski</w:t>
      </w:r>
      <w:proofErr w:type="spellEnd"/>
      <w:r w:rsidR="7F9D6475" w:rsidRPr="002A1176">
        <w:rPr>
          <w:rFonts w:ascii="Calibri" w:eastAsia="Aptos" w:hAnsi="Calibri" w:cs="Calibri"/>
          <w:color w:val="242424"/>
          <w:sz w:val="22"/>
          <w:szCs w:val="22"/>
        </w:rPr>
        <w:t xml:space="preserve"> (</w:t>
      </w:r>
      <w:proofErr w:type="spellStart"/>
      <w:r w:rsidR="7F9D6475" w:rsidRPr="002A1176">
        <w:rPr>
          <w:rFonts w:ascii="Calibri" w:eastAsia="Aptos" w:hAnsi="Calibri" w:cs="Calibri"/>
          <w:sz w:val="22"/>
          <w:szCs w:val="22"/>
        </w:rPr>
        <w:t>Okręg</w:t>
      </w:r>
      <w:proofErr w:type="spellEnd"/>
      <w:r w:rsidR="7F9D6475" w:rsidRPr="002A1176">
        <w:rPr>
          <w:rFonts w:ascii="Calibri" w:eastAsia="Aptos" w:hAnsi="Calibri" w:cs="Calibri"/>
          <w:sz w:val="22"/>
          <w:szCs w:val="22"/>
        </w:rPr>
        <w:t xml:space="preserve"> III – </w:t>
      </w:r>
      <w:proofErr w:type="spellStart"/>
      <w:r w:rsidR="7F9D6475" w:rsidRPr="002A1176">
        <w:rPr>
          <w:rFonts w:ascii="Calibri" w:eastAsia="Aptos" w:hAnsi="Calibri" w:cs="Calibri"/>
          <w:sz w:val="22"/>
          <w:szCs w:val="22"/>
        </w:rPr>
        <w:t>Wydział</w:t>
      </w:r>
      <w:proofErr w:type="spellEnd"/>
      <w:r w:rsidR="7F9D6475" w:rsidRPr="002A1176">
        <w:rPr>
          <w:rFonts w:ascii="Calibri" w:eastAsia="Aptos" w:hAnsi="Calibri" w:cs="Calibri"/>
          <w:sz w:val="22"/>
          <w:szCs w:val="22"/>
        </w:rPr>
        <w:t xml:space="preserve"> </w:t>
      </w:r>
      <w:proofErr w:type="spellStart"/>
      <w:r w:rsidR="7F9D6475" w:rsidRPr="002A1176">
        <w:rPr>
          <w:rFonts w:ascii="Calibri" w:eastAsia="Aptos" w:hAnsi="Calibri" w:cs="Calibri"/>
          <w:sz w:val="22"/>
          <w:szCs w:val="22"/>
        </w:rPr>
        <w:t>Grafiki</w:t>
      </w:r>
      <w:proofErr w:type="spellEnd"/>
      <w:r w:rsidR="7F9D6475" w:rsidRPr="002A1176">
        <w:rPr>
          <w:rFonts w:ascii="Calibri" w:eastAsia="Aptos" w:hAnsi="Calibri" w:cs="Calibri"/>
          <w:sz w:val="22"/>
          <w:szCs w:val="22"/>
        </w:rPr>
        <w:t>)</w:t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  <w:r w:rsidR="5851D20B" w:rsidRPr="002A1176">
        <w:rPr>
          <w:rFonts w:ascii="Calibri" w:hAnsi="Calibri" w:cs="Calibri"/>
          <w:sz w:val="22"/>
          <w:szCs w:val="22"/>
        </w:rPr>
        <w:br/>
      </w:r>
    </w:p>
    <w:p w14:paraId="0056C7F6" w14:textId="0D2B2843" w:rsidR="5851D20B" w:rsidRPr="002A1176" w:rsidRDefault="5851D20B" w:rsidP="5FD40BCB">
      <w:pPr>
        <w:rPr>
          <w:rFonts w:ascii="Calibri" w:eastAsia="Aptos" w:hAnsi="Calibri" w:cs="Calibri"/>
          <w:sz w:val="22"/>
          <w:szCs w:val="22"/>
        </w:rPr>
      </w:pPr>
    </w:p>
    <w:p w14:paraId="311A06BB" w14:textId="748B094E" w:rsidR="5851D20B" w:rsidRPr="002A1176" w:rsidRDefault="5851D20B" w:rsidP="5851D20B">
      <w:pPr>
        <w:rPr>
          <w:rFonts w:ascii="Calibri" w:eastAsia="Aptos" w:hAnsi="Calibri" w:cs="Calibri"/>
          <w:color w:val="242424"/>
          <w:sz w:val="22"/>
          <w:szCs w:val="22"/>
        </w:rPr>
      </w:pPr>
    </w:p>
    <w:sectPr w:rsidR="5851D20B" w:rsidRPr="002A1176" w:rsidSect="002A1176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1758" w14:textId="77777777" w:rsidR="002A1176" w:rsidRDefault="002A1176" w:rsidP="002A1176">
      <w:pPr>
        <w:spacing w:after="0" w:line="240" w:lineRule="auto"/>
      </w:pPr>
      <w:r>
        <w:separator/>
      </w:r>
    </w:p>
  </w:endnote>
  <w:endnote w:type="continuationSeparator" w:id="0">
    <w:p w14:paraId="2BDF46E3" w14:textId="77777777" w:rsidR="002A1176" w:rsidRDefault="002A1176" w:rsidP="002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52CA" w14:textId="77777777" w:rsidR="002A1176" w:rsidRDefault="002A1176" w:rsidP="002A1176">
      <w:pPr>
        <w:spacing w:after="0" w:line="240" w:lineRule="auto"/>
      </w:pPr>
      <w:r>
        <w:separator/>
      </w:r>
    </w:p>
  </w:footnote>
  <w:footnote w:type="continuationSeparator" w:id="0">
    <w:p w14:paraId="6106218E" w14:textId="77777777" w:rsidR="002A1176" w:rsidRDefault="002A1176" w:rsidP="002A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FD8E" w14:textId="77777777" w:rsidR="002A1176" w:rsidRDefault="002A1176" w:rsidP="002A1176">
    <w:pPr>
      <w:spacing w:after="0" w:line="276" w:lineRule="auto"/>
      <w:ind w:left="5040"/>
      <w:rPr>
        <w:rFonts w:ascii="Calibri" w:hAnsi="Calibri" w:cs="Calibri"/>
        <w:sz w:val="22"/>
        <w:szCs w:val="22"/>
      </w:rPr>
    </w:pPr>
    <w:proofErr w:type="spellStart"/>
    <w:r w:rsidRPr="002A1176">
      <w:rPr>
        <w:rFonts w:ascii="Calibri" w:hAnsi="Calibri" w:cs="Calibri"/>
        <w:sz w:val="22"/>
        <w:szCs w:val="22"/>
      </w:rPr>
      <w:t>Załącznik</w:t>
    </w:r>
    <w:proofErr w:type="spellEnd"/>
    <w:r w:rsidRPr="002A1176">
      <w:rPr>
        <w:rFonts w:ascii="Calibri" w:hAnsi="Calibri" w:cs="Calibri"/>
        <w:sz w:val="22"/>
        <w:szCs w:val="22"/>
      </w:rPr>
      <w:t xml:space="preserve"> nr 2</w:t>
    </w:r>
  </w:p>
  <w:p w14:paraId="65383849" w14:textId="25F72BDE" w:rsidR="002A1176" w:rsidRDefault="002A1176" w:rsidP="002A1176">
    <w:pPr>
      <w:spacing w:after="0" w:line="276" w:lineRule="auto"/>
      <w:ind w:left="4320" w:firstLine="720"/>
      <w:rPr>
        <w:rFonts w:ascii="Calibri" w:hAnsi="Calibri" w:cs="Calibri"/>
        <w:sz w:val="22"/>
        <w:szCs w:val="22"/>
      </w:rPr>
    </w:pPr>
    <w:r w:rsidRPr="002A1176">
      <w:rPr>
        <w:rFonts w:ascii="Calibri" w:hAnsi="Calibri" w:cs="Calibri"/>
        <w:sz w:val="22"/>
        <w:szCs w:val="22"/>
      </w:rPr>
      <w:t xml:space="preserve">do </w:t>
    </w:r>
    <w:proofErr w:type="spellStart"/>
    <w:r w:rsidRPr="002A1176">
      <w:rPr>
        <w:rFonts w:ascii="Calibri" w:hAnsi="Calibri" w:cs="Calibri"/>
        <w:sz w:val="22"/>
        <w:szCs w:val="22"/>
      </w:rPr>
      <w:t>Uchwały</w:t>
    </w:r>
    <w:proofErr w:type="spellEnd"/>
    <w:r>
      <w:rPr>
        <w:rFonts w:ascii="Calibri" w:hAnsi="Calibri" w:cs="Calibri"/>
        <w:sz w:val="22"/>
        <w:szCs w:val="22"/>
      </w:rPr>
      <w:t xml:space="preserve"> nr</w:t>
    </w:r>
    <w:r w:rsidRPr="002A1176">
      <w:rPr>
        <w:rFonts w:ascii="Calibri" w:hAnsi="Calibri" w:cs="Calibri"/>
        <w:sz w:val="22"/>
        <w:szCs w:val="22"/>
      </w:rPr>
      <w:t xml:space="preserve"> 18/2024</w:t>
    </w:r>
    <w:r>
      <w:rPr>
        <w:rFonts w:ascii="Calibri" w:hAnsi="Calibri" w:cs="Calibri"/>
        <w:sz w:val="22"/>
        <w:szCs w:val="22"/>
      </w:rPr>
      <w:t xml:space="preserve"> UKW ASP w </w:t>
    </w:r>
    <w:proofErr w:type="spellStart"/>
    <w:r>
      <w:rPr>
        <w:rFonts w:ascii="Calibri" w:hAnsi="Calibri" w:cs="Calibri"/>
        <w:sz w:val="22"/>
        <w:szCs w:val="22"/>
      </w:rPr>
      <w:t>Krakowie</w:t>
    </w:r>
    <w:proofErr w:type="spellEnd"/>
  </w:p>
  <w:p w14:paraId="1F1160F8" w14:textId="3F8BE6A0" w:rsidR="002A1176" w:rsidRPr="002A1176" w:rsidRDefault="002A1176" w:rsidP="002A1176">
    <w:pPr>
      <w:spacing w:after="0" w:line="276" w:lineRule="auto"/>
      <w:ind w:left="4320" w:firstLine="720"/>
      <w:rPr>
        <w:rFonts w:ascii="Calibri" w:hAnsi="Calibri" w:cs="Calibri"/>
        <w:sz w:val="22"/>
        <w:szCs w:val="22"/>
      </w:rPr>
    </w:pPr>
    <w:r w:rsidRPr="002A1176">
      <w:rPr>
        <w:rFonts w:ascii="Calibri" w:hAnsi="Calibri" w:cs="Calibri"/>
        <w:sz w:val="22"/>
        <w:szCs w:val="22"/>
      </w:rPr>
      <w:t xml:space="preserve">z </w:t>
    </w:r>
    <w:proofErr w:type="spellStart"/>
    <w:r w:rsidRPr="002A1176">
      <w:rPr>
        <w:rFonts w:ascii="Calibri" w:hAnsi="Calibri" w:cs="Calibri"/>
        <w:sz w:val="22"/>
        <w:szCs w:val="22"/>
      </w:rPr>
      <w:t>dnia</w:t>
    </w:r>
    <w:proofErr w:type="spellEnd"/>
    <w:r w:rsidRPr="002A1176">
      <w:rPr>
        <w:rFonts w:ascii="Calibri" w:hAnsi="Calibri" w:cs="Calibri"/>
        <w:sz w:val="22"/>
        <w:szCs w:val="22"/>
      </w:rPr>
      <w:t xml:space="preserve"> 28</w:t>
    </w:r>
    <w:r>
      <w:rPr>
        <w:rFonts w:ascii="Calibri" w:hAnsi="Calibri" w:cs="Calibri"/>
        <w:sz w:val="22"/>
        <w:szCs w:val="22"/>
      </w:rPr>
      <w:t xml:space="preserve"> </w:t>
    </w:r>
    <w:proofErr w:type="spellStart"/>
    <w:r>
      <w:rPr>
        <w:rFonts w:ascii="Calibri" w:hAnsi="Calibri" w:cs="Calibri"/>
        <w:sz w:val="22"/>
        <w:szCs w:val="22"/>
      </w:rPr>
      <w:t>maja</w:t>
    </w:r>
    <w:proofErr w:type="spellEnd"/>
    <w:r>
      <w:rPr>
        <w:rFonts w:ascii="Calibri" w:hAnsi="Calibri" w:cs="Calibri"/>
        <w:sz w:val="22"/>
        <w:szCs w:val="22"/>
      </w:rPr>
      <w:t xml:space="preserve"> 2</w:t>
    </w:r>
    <w:r w:rsidRPr="002A1176">
      <w:rPr>
        <w:rFonts w:ascii="Calibri" w:hAnsi="Calibri" w:cs="Calibri"/>
        <w:sz w:val="22"/>
        <w:szCs w:val="22"/>
      </w:rPr>
      <w:t>024</w:t>
    </w:r>
    <w:r>
      <w:rPr>
        <w:rFonts w:ascii="Calibri" w:hAnsi="Calibri" w:cs="Calibri"/>
        <w:sz w:val="22"/>
        <w:szCs w:val="22"/>
      </w:rPr>
      <w:t xml:space="preserve"> </w:t>
    </w:r>
    <w:r w:rsidRPr="002A1176">
      <w:rPr>
        <w:rFonts w:ascii="Calibri" w:hAnsi="Calibri" w:cs="Calibri"/>
        <w:sz w:val="22"/>
        <w:szCs w:val="22"/>
      </w:rPr>
      <w:t>r.</w:t>
    </w:r>
  </w:p>
  <w:p w14:paraId="618F431D" w14:textId="77777777" w:rsidR="002A1176" w:rsidRDefault="002A1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6A1A"/>
    <w:multiLevelType w:val="hybridMultilevel"/>
    <w:tmpl w:val="0824BF98"/>
    <w:lvl w:ilvl="0" w:tplc="A66279E4">
      <w:start w:val="1"/>
      <w:numFmt w:val="decimal"/>
      <w:lvlText w:val="%1."/>
      <w:lvlJc w:val="left"/>
      <w:pPr>
        <w:ind w:left="720" w:hanging="360"/>
      </w:pPr>
    </w:lvl>
    <w:lvl w:ilvl="1" w:tplc="9D7E8D1E">
      <w:start w:val="1"/>
      <w:numFmt w:val="lowerLetter"/>
      <w:lvlText w:val="%2."/>
      <w:lvlJc w:val="left"/>
      <w:pPr>
        <w:ind w:left="1440" w:hanging="360"/>
      </w:pPr>
    </w:lvl>
    <w:lvl w:ilvl="2" w:tplc="5C245198">
      <w:start w:val="1"/>
      <w:numFmt w:val="lowerRoman"/>
      <w:lvlText w:val="%3."/>
      <w:lvlJc w:val="right"/>
      <w:pPr>
        <w:ind w:left="2160" w:hanging="180"/>
      </w:pPr>
    </w:lvl>
    <w:lvl w:ilvl="3" w:tplc="B5A4DC3A">
      <w:start w:val="1"/>
      <w:numFmt w:val="decimal"/>
      <w:lvlText w:val="%4."/>
      <w:lvlJc w:val="left"/>
      <w:pPr>
        <w:ind w:left="2880" w:hanging="360"/>
      </w:pPr>
    </w:lvl>
    <w:lvl w:ilvl="4" w:tplc="396650DA">
      <w:start w:val="1"/>
      <w:numFmt w:val="lowerLetter"/>
      <w:lvlText w:val="%5."/>
      <w:lvlJc w:val="left"/>
      <w:pPr>
        <w:ind w:left="3600" w:hanging="360"/>
      </w:pPr>
    </w:lvl>
    <w:lvl w:ilvl="5" w:tplc="39BA0FEC">
      <w:start w:val="1"/>
      <w:numFmt w:val="lowerRoman"/>
      <w:lvlText w:val="%6."/>
      <w:lvlJc w:val="right"/>
      <w:pPr>
        <w:ind w:left="4320" w:hanging="180"/>
      </w:pPr>
    </w:lvl>
    <w:lvl w:ilvl="6" w:tplc="2B76C298">
      <w:start w:val="1"/>
      <w:numFmt w:val="decimal"/>
      <w:lvlText w:val="%7."/>
      <w:lvlJc w:val="left"/>
      <w:pPr>
        <w:ind w:left="5040" w:hanging="360"/>
      </w:pPr>
    </w:lvl>
    <w:lvl w:ilvl="7" w:tplc="F30EF624">
      <w:start w:val="1"/>
      <w:numFmt w:val="lowerLetter"/>
      <w:lvlText w:val="%8."/>
      <w:lvlJc w:val="left"/>
      <w:pPr>
        <w:ind w:left="5760" w:hanging="360"/>
      </w:pPr>
    </w:lvl>
    <w:lvl w:ilvl="8" w:tplc="809E94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4333"/>
    <w:multiLevelType w:val="hybridMultilevel"/>
    <w:tmpl w:val="B83667B6"/>
    <w:lvl w:ilvl="0" w:tplc="0FA0DA90">
      <w:start w:val="1"/>
      <w:numFmt w:val="decimal"/>
      <w:lvlText w:val="%1."/>
      <w:lvlJc w:val="left"/>
      <w:pPr>
        <w:ind w:left="720" w:hanging="360"/>
      </w:pPr>
    </w:lvl>
    <w:lvl w:ilvl="1" w:tplc="7AA0BF80">
      <w:start w:val="1"/>
      <w:numFmt w:val="lowerLetter"/>
      <w:lvlText w:val="%2."/>
      <w:lvlJc w:val="left"/>
      <w:pPr>
        <w:ind w:left="1440" w:hanging="360"/>
      </w:pPr>
    </w:lvl>
    <w:lvl w:ilvl="2" w:tplc="4692C09E">
      <w:start w:val="1"/>
      <w:numFmt w:val="lowerRoman"/>
      <w:lvlText w:val="%3."/>
      <w:lvlJc w:val="right"/>
      <w:pPr>
        <w:ind w:left="2160" w:hanging="180"/>
      </w:pPr>
    </w:lvl>
    <w:lvl w:ilvl="3" w:tplc="F20C66B4">
      <w:start w:val="1"/>
      <w:numFmt w:val="decimal"/>
      <w:lvlText w:val="%4."/>
      <w:lvlJc w:val="left"/>
      <w:pPr>
        <w:ind w:left="2880" w:hanging="360"/>
      </w:pPr>
    </w:lvl>
    <w:lvl w:ilvl="4" w:tplc="906CE346">
      <w:start w:val="1"/>
      <w:numFmt w:val="lowerLetter"/>
      <w:lvlText w:val="%5."/>
      <w:lvlJc w:val="left"/>
      <w:pPr>
        <w:ind w:left="3600" w:hanging="360"/>
      </w:pPr>
    </w:lvl>
    <w:lvl w:ilvl="5" w:tplc="81EA9104">
      <w:start w:val="1"/>
      <w:numFmt w:val="lowerRoman"/>
      <w:lvlText w:val="%6."/>
      <w:lvlJc w:val="right"/>
      <w:pPr>
        <w:ind w:left="4320" w:hanging="180"/>
      </w:pPr>
    </w:lvl>
    <w:lvl w:ilvl="6" w:tplc="AED832A8">
      <w:start w:val="1"/>
      <w:numFmt w:val="decimal"/>
      <w:lvlText w:val="%7."/>
      <w:lvlJc w:val="left"/>
      <w:pPr>
        <w:ind w:left="5040" w:hanging="360"/>
      </w:pPr>
    </w:lvl>
    <w:lvl w:ilvl="7" w:tplc="D34821F0">
      <w:start w:val="1"/>
      <w:numFmt w:val="lowerLetter"/>
      <w:lvlText w:val="%8."/>
      <w:lvlJc w:val="left"/>
      <w:pPr>
        <w:ind w:left="5760" w:hanging="360"/>
      </w:pPr>
    </w:lvl>
    <w:lvl w:ilvl="8" w:tplc="651085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9CB5D3"/>
    <w:rsid w:val="002A1176"/>
    <w:rsid w:val="0112B2FD"/>
    <w:rsid w:val="01ED134C"/>
    <w:rsid w:val="02EA1489"/>
    <w:rsid w:val="03CCDA0E"/>
    <w:rsid w:val="0529EC74"/>
    <w:rsid w:val="0A788C0E"/>
    <w:rsid w:val="0AAA1E8C"/>
    <w:rsid w:val="0B671A24"/>
    <w:rsid w:val="0D130808"/>
    <w:rsid w:val="0F23272A"/>
    <w:rsid w:val="0FBDFFBB"/>
    <w:rsid w:val="0FFFEA6B"/>
    <w:rsid w:val="11EC69B6"/>
    <w:rsid w:val="14B2E95C"/>
    <w:rsid w:val="15802884"/>
    <w:rsid w:val="1B773260"/>
    <w:rsid w:val="204FDF07"/>
    <w:rsid w:val="212A156D"/>
    <w:rsid w:val="2656643C"/>
    <w:rsid w:val="285D05D1"/>
    <w:rsid w:val="289CB5D3"/>
    <w:rsid w:val="298E04FE"/>
    <w:rsid w:val="2CC5A5C0"/>
    <w:rsid w:val="2EE2C823"/>
    <w:rsid w:val="300C0342"/>
    <w:rsid w:val="325451E6"/>
    <w:rsid w:val="3649F4A5"/>
    <w:rsid w:val="3814C18F"/>
    <w:rsid w:val="3A612E9F"/>
    <w:rsid w:val="3E7C93AF"/>
    <w:rsid w:val="3FF95D7A"/>
    <w:rsid w:val="42058B44"/>
    <w:rsid w:val="42B1BA20"/>
    <w:rsid w:val="438E5F15"/>
    <w:rsid w:val="44F7F1E6"/>
    <w:rsid w:val="46435012"/>
    <w:rsid w:val="48DEAD03"/>
    <w:rsid w:val="4A0285CC"/>
    <w:rsid w:val="4C799974"/>
    <w:rsid w:val="4DE70A92"/>
    <w:rsid w:val="4E774734"/>
    <w:rsid w:val="5041C2F6"/>
    <w:rsid w:val="52019C60"/>
    <w:rsid w:val="5346A38C"/>
    <w:rsid w:val="54414C6F"/>
    <w:rsid w:val="5851D20B"/>
    <w:rsid w:val="5881AFCB"/>
    <w:rsid w:val="5A59D8D5"/>
    <w:rsid w:val="5ACD7B20"/>
    <w:rsid w:val="5CD24D2E"/>
    <w:rsid w:val="5DACD239"/>
    <w:rsid w:val="5FD40BCB"/>
    <w:rsid w:val="652291F2"/>
    <w:rsid w:val="685A32B4"/>
    <w:rsid w:val="6BEB4363"/>
    <w:rsid w:val="71796548"/>
    <w:rsid w:val="7212F85C"/>
    <w:rsid w:val="73195071"/>
    <w:rsid w:val="76B39EEE"/>
    <w:rsid w:val="7974D0D9"/>
    <w:rsid w:val="7D57054E"/>
    <w:rsid w:val="7EF968EA"/>
    <w:rsid w:val="7F9D6475"/>
    <w:rsid w:val="7FACB667"/>
    <w:rsid w:val="7FD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B5D3"/>
  <w15:chartTrackingRefBased/>
  <w15:docId w15:val="{C2B87471-E744-47D9-A931-D7D6CDE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Pr>
      <w:i/>
      <w:iCs/>
      <w:color w:val="0F4761" w:themeColor="accent1" w:themeShade="BF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76"/>
  </w:style>
  <w:style w:type="paragraph" w:styleId="Stopka">
    <w:name w:val="footer"/>
    <w:basedOn w:val="Normalny"/>
    <w:link w:val="StopkaZnak"/>
    <w:uiPriority w:val="99"/>
    <w:unhideWhenUsed/>
    <w:rsid w:val="002A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4fc82-dc26-4f65-aeb9-913d8e701e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D0D734743C47BDA0CB41AC9BDF3C" ma:contentTypeVersion="18" ma:contentTypeDescription="Create a new document." ma:contentTypeScope="" ma:versionID="1acfa6e03f876678c42c7c9f784fa1d8">
  <xsd:schema xmlns:xsd="http://www.w3.org/2001/XMLSchema" xmlns:xs="http://www.w3.org/2001/XMLSchema" xmlns:p="http://schemas.microsoft.com/office/2006/metadata/properties" xmlns:ns3="b404fc82-dc26-4f65-aeb9-913d8e701e2d" xmlns:ns4="9e9be95d-122d-4c75-92e1-2159c285d26b" targetNamespace="http://schemas.microsoft.com/office/2006/metadata/properties" ma:root="true" ma:fieldsID="b6138efd2f3dae2cf0c70d7c6748f0d3" ns3:_="" ns4:_="">
    <xsd:import namespace="b404fc82-dc26-4f65-aeb9-913d8e701e2d"/>
    <xsd:import namespace="9e9be95d-122d-4c75-92e1-2159c285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c82-dc26-4f65-aeb9-913d8e70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e95d-122d-4c75-92e1-2159c285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2863-6F1E-4D0A-9055-A455769C4796}">
  <ds:schemaRefs>
    <ds:schemaRef ds:uri="9e9be95d-122d-4c75-92e1-2159c285d26b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404fc82-dc26-4f65-aeb9-913d8e701e2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FF1B86-95E4-48B3-B82C-1F94633EE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2F71-CDA4-4DBD-A251-047B6ECC8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4fc82-dc26-4f65-aeb9-913d8e701e2d"/>
    <ds:schemaRef ds:uri="9e9be95d-122d-4c75-92e1-2159c285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Konik</dc:creator>
  <cp:keywords/>
  <dc:description/>
  <cp:lastModifiedBy>Karolina Gamrat</cp:lastModifiedBy>
  <cp:revision>2</cp:revision>
  <dcterms:created xsi:type="dcterms:W3CDTF">2024-06-06T07:53:00Z</dcterms:created>
  <dcterms:modified xsi:type="dcterms:W3CDTF">2024-06-06T07:53:00Z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0x010100DA76D0D734743C47BDA0CB41AC9BDF3C</vt:lpwstr>
  </property>
</Properties>
</file>