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2" w:type="dxa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5062"/>
        <w:gridCol w:w="4150"/>
      </w:tblGrid>
      <w:tr w:rsidR="0067302D">
        <w:tc>
          <w:tcPr>
            <w:tcW w:w="9212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</w:tcPr>
          <w:p w:rsidR="0067302D" w:rsidRDefault="00F47395">
            <w:pPr>
              <w:spacing w:before="240"/>
              <w:jc w:val="center"/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ZASADY PRZYJĘĆ NA I ROK STUDIÓW</w:t>
            </w:r>
          </w:p>
          <w:p w:rsidR="0067302D" w:rsidRDefault="00F47395">
            <w:pPr>
              <w:jc w:val="center"/>
            </w:pPr>
            <w:r>
              <w:rPr>
                <w:b/>
                <w:sz w:val="24"/>
                <w:szCs w:val="24"/>
              </w:rPr>
              <w:t>W ROKU AKADEMICKIM 201</w:t>
            </w:r>
            <w:r w:rsidR="00091EE2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/</w:t>
            </w:r>
            <w:r w:rsidR="00091EE2">
              <w:rPr>
                <w:b/>
                <w:sz w:val="24"/>
                <w:szCs w:val="24"/>
              </w:rPr>
              <w:t>20</w:t>
            </w:r>
          </w:p>
          <w:p w:rsidR="0067302D" w:rsidRDefault="0067302D">
            <w:pPr>
              <w:jc w:val="center"/>
              <w:rPr>
                <w:sz w:val="24"/>
                <w:szCs w:val="24"/>
              </w:rPr>
            </w:pPr>
          </w:p>
        </w:tc>
      </w:tr>
      <w:tr w:rsidR="0067302D" w:rsidTr="00B67199">
        <w:trPr>
          <w:trHeight w:val="425"/>
        </w:trPr>
        <w:tc>
          <w:tcPr>
            <w:tcW w:w="506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67302D" w:rsidRDefault="00F47395">
            <w:pPr>
              <w:jc w:val="center"/>
            </w:pPr>
            <w:r>
              <w:rPr>
                <w:sz w:val="24"/>
                <w:szCs w:val="24"/>
              </w:rPr>
              <w:t>Wydział</w:t>
            </w:r>
          </w:p>
        </w:tc>
        <w:tc>
          <w:tcPr>
            <w:tcW w:w="415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67302D" w:rsidRDefault="00F47395">
            <w:pPr>
              <w:jc w:val="center"/>
            </w:pPr>
            <w:r>
              <w:rPr>
                <w:sz w:val="24"/>
                <w:szCs w:val="24"/>
              </w:rPr>
              <w:t>Architektury Wnętrz</w:t>
            </w:r>
          </w:p>
        </w:tc>
      </w:tr>
      <w:tr w:rsidR="0067302D" w:rsidTr="00B67199">
        <w:trPr>
          <w:trHeight w:val="425"/>
        </w:trPr>
        <w:tc>
          <w:tcPr>
            <w:tcW w:w="506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67302D" w:rsidRDefault="00F47395">
            <w:pPr>
              <w:jc w:val="center"/>
            </w:pPr>
            <w:r>
              <w:rPr>
                <w:sz w:val="24"/>
                <w:szCs w:val="24"/>
              </w:rPr>
              <w:t>Kierunek</w:t>
            </w:r>
          </w:p>
        </w:tc>
        <w:tc>
          <w:tcPr>
            <w:tcW w:w="415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67302D" w:rsidRDefault="00F47395">
            <w:pPr>
              <w:jc w:val="center"/>
            </w:pPr>
            <w:r>
              <w:rPr>
                <w:sz w:val="24"/>
                <w:szCs w:val="24"/>
              </w:rPr>
              <w:t>architektura wnętrz</w:t>
            </w:r>
          </w:p>
        </w:tc>
      </w:tr>
      <w:tr w:rsidR="0067302D" w:rsidTr="00B67199">
        <w:trPr>
          <w:trHeight w:val="425"/>
        </w:trPr>
        <w:tc>
          <w:tcPr>
            <w:tcW w:w="506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67302D" w:rsidRDefault="00F47395">
            <w:pPr>
              <w:jc w:val="center"/>
            </w:pPr>
            <w:r>
              <w:rPr>
                <w:sz w:val="24"/>
                <w:szCs w:val="24"/>
              </w:rPr>
              <w:t>Poziom i forma studiów</w:t>
            </w:r>
          </w:p>
        </w:tc>
        <w:tc>
          <w:tcPr>
            <w:tcW w:w="415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67302D" w:rsidRDefault="00F47395">
            <w:pPr>
              <w:jc w:val="center"/>
            </w:pPr>
            <w:r>
              <w:rPr>
                <w:sz w:val="24"/>
                <w:szCs w:val="24"/>
              </w:rPr>
              <w:t>studia drugiego stopnia, stacjonarne</w:t>
            </w:r>
          </w:p>
        </w:tc>
      </w:tr>
      <w:tr w:rsidR="0067302D" w:rsidTr="00B67199">
        <w:trPr>
          <w:trHeight w:val="425"/>
        </w:trPr>
        <w:tc>
          <w:tcPr>
            <w:tcW w:w="506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67302D" w:rsidRDefault="00F47395">
            <w:pPr>
              <w:jc w:val="center"/>
            </w:pPr>
            <w:r>
              <w:rPr>
                <w:sz w:val="24"/>
                <w:szCs w:val="24"/>
              </w:rPr>
              <w:t>Czas trwania studiów</w:t>
            </w:r>
          </w:p>
        </w:tc>
        <w:tc>
          <w:tcPr>
            <w:tcW w:w="415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67302D" w:rsidRDefault="00F47395">
            <w:pPr>
              <w:jc w:val="center"/>
            </w:pPr>
            <w:r>
              <w:rPr>
                <w:sz w:val="24"/>
                <w:szCs w:val="24"/>
              </w:rPr>
              <w:t>4 semestry</w:t>
            </w:r>
          </w:p>
        </w:tc>
      </w:tr>
    </w:tbl>
    <w:p w:rsidR="0067302D" w:rsidRDefault="0067302D"/>
    <w:tbl>
      <w:tblPr>
        <w:tblW w:w="9229" w:type="dxa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3618"/>
        <w:gridCol w:w="5611"/>
      </w:tblGrid>
      <w:tr w:rsidR="0067302D" w:rsidTr="00B67199">
        <w:trPr>
          <w:trHeight w:val="1715"/>
        </w:trPr>
        <w:tc>
          <w:tcPr>
            <w:tcW w:w="361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67302D" w:rsidRDefault="00F47395">
            <w:pPr>
              <w:jc w:val="center"/>
            </w:pPr>
            <w:r>
              <w:rPr>
                <w:b/>
                <w:sz w:val="24"/>
                <w:szCs w:val="24"/>
              </w:rPr>
              <w:t>Podstawa przyjęcia na studia</w:t>
            </w:r>
          </w:p>
        </w:tc>
        <w:tc>
          <w:tcPr>
            <w:tcW w:w="561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bottom"/>
          </w:tcPr>
          <w:p w:rsidR="0067302D" w:rsidRDefault="00F47395" w:rsidP="00B67199">
            <w:pPr>
              <w:spacing w:after="200"/>
            </w:pPr>
            <w:r>
              <w:rPr>
                <w:rFonts w:ascii="TimesNewRomanPSMT" w:eastAsia="TimesNewRomanPSMT" w:hAnsi="TimesNewRomanPSMT" w:cs="TimesNewRomanPSMT"/>
                <w:sz w:val="24"/>
                <w:szCs w:val="24"/>
              </w:rPr>
              <w:t>Do podjęcia studiów drugiego stopnia może zostać dopuszczona osoba, która uzyskała tytuł magistra, licencjata, inżyniera lub równorzędny tego samego kierunku lub kierunku pokrewnego. Za kierunek pokrewny uznaje się</w:t>
            </w:r>
            <w:r>
              <w:t xml:space="preserve"> </w:t>
            </w:r>
            <w:r>
              <w:rPr>
                <w:rFonts w:ascii="TimesNewRomanPSMT" w:eastAsia="TimesNewRomanPSMT" w:hAnsi="TimesNewRomanPSMT" w:cs="TimesNewRomanPSMT"/>
                <w:sz w:val="24"/>
                <w:szCs w:val="24"/>
              </w:rPr>
              <w:t>kierunki artystyczno-projektowe.</w:t>
            </w:r>
          </w:p>
        </w:tc>
      </w:tr>
      <w:tr w:rsidR="0067302D">
        <w:trPr>
          <w:trHeight w:val="613"/>
        </w:trPr>
        <w:tc>
          <w:tcPr>
            <w:tcW w:w="9229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67302D" w:rsidRDefault="00F47395">
            <w:pPr>
              <w:jc w:val="center"/>
            </w:pPr>
            <w:r>
              <w:rPr>
                <w:b/>
                <w:sz w:val="24"/>
                <w:szCs w:val="24"/>
              </w:rPr>
              <w:t>EGZAMIN WSTĘPNY</w:t>
            </w:r>
          </w:p>
        </w:tc>
      </w:tr>
      <w:tr w:rsidR="0067302D" w:rsidTr="00B67199">
        <w:trPr>
          <w:trHeight w:val="4060"/>
        </w:trPr>
        <w:tc>
          <w:tcPr>
            <w:tcW w:w="361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67302D" w:rsidRDefault="00F47395">
            <w:pPr>
              <w:jc w:val="center"/>
            </w:pPr>
            <w:r>
              <w:rPr>
                <w:rFonts w:eastAsia="TimesNewRomanPS-BoldMT" w:cs="TimesNewRomanPS-BoldMT"/>
                <w:b/>
                <w:bCs/>
                <w:sz w:val="24"/>
                <w:szCs w:val="24"/>
              </w:rPr>
              <w:t>Przegląd prac i rozmowa</w:t>
            </w:r>
          </w:p>
          <w:p w:rsidR="0067302D" w:rsidRDefault="00F47395">
            <w:pPr>
              <w:autoSpaceDE w:val="0"/>
              <w:spacing w:after="200"/>
              <w:jc w:val="center"/>
            </w:pPr>
            <w:r>
              <w:rPr>
                <w:rFonts w:eastAsia="TimesNewRomanPS-BoldMT" w:cs="TimesNewRomanPS-BoldMT"/>
                <w:b/>
                <w:bCs/>
                <w:sz w:val="24"/>
                <w:szCs w:val="24"/>
              </w:rPr>
              <w:t>kwalifikacyjna</w:t>
            </w:r>
          </w:p>
        </w:tc>
        <w:tc>
          <w:tcPr>
            <w:tcW w:w="561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67302D" w:rsidRDefault="00F47395" w:rsidP="00B67199">
            <w:pPr>
              <w:jc w:val="both"/>
            </w:pPr>
            <w:r>
              <w:rPr>
                <w:rFonts w:ascii="TimesNewRomanPSMT" w:eastAsia="TimesNewRomanPSMT" w:hAnsi="TimesNewRomanPSMT" w:cs="TimesNewRomanPSMT"/>
                <w:sz w:val="24"/>
                <w:szCs w:val="24"/>
              </w:rPr>
              <w:t>Kandydat przedstawia Wydziałowej Komisji</w:t>
            </w:r>
            <w:r>
              <w:rPr>
                <w:rFonts w:ascii="TimesNewRomanPSMT" w:eastAsia="TimesNewRomanPSMT" w:hAnsi="TimesNewRomanPSMT" w:cs="TimesNewRomanPSMT"/>
              </w:rPr>
              <w:t xml:space="preserve"> </w:t>
            </w:r>
            <w:r>
              <w:rPr>
                <w:rFonts w:ascii="TimesNewRomanPSMT" w:eastAsia="TimesNewRomanPSMT" w:hAnsi="TimesNewRomanPSMT" w:cs="TimesNewRomanPSMT"/>
                <w:sz w:val="24"/>
                <w:szCs w:val="24"/>
              </w:rPr>
              <w:t>Rekrutacyjnej własne prace projektowe wykonane w trakcie studiów pierwszego stopnia i ewentualnie praktyki zawodowej, pracę licencjacką, wybrane prace plastyczne - rysunkowe i malarskie w oryginale oraz dokumentację innych działań artystycznych (w sumie 20 prac). Prace prezentowane przed Komisją powinny być czytelnie podpisane imieniem i nazwiskiem kandydata oraz datowane. Komisja nie rozpatruje teczek, które nie zawierają wymaganej ilości prac. Rozmowa kwalifikacyjna sprawdza wiedzę kandydata w odniesieniu do kierunku studiów z zakresu historii i współczesnej architektury, architektury wnętrz i mebli.</w:t>
            </w:r>
          </w:p>
        </w:tc>
      </w:tr>
      <w:tr w:rsidR="0067302D">
        <w:trPr>
          <w:trHeight w:val="612"/>
        </w:trPr>
        <w:tc>
          <w:tcPr>
            <w:tcW w:w="9229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67302D" w:rsidRDefault="00F47395">
            <w:pPr>
              <w:jc w:val="center"/>
            </w:pPr>
            <w:r>
              <w:rPr>
                <w:b/>
                <w:sz w:val="24"/>
                <w:szCs w:val="24"/>
              </w:rPr>
              <w:t>PUNKTACJA</w:t>
            </w:r>
          </w:p>
        </w:tc>
      </w:tr>
      <w:tr w:rsidR="0067302D">
        <w:trPr>
          <w:trHeight w:val="682"/>
        </w:trPr>
        <w:tc>
          <w:tcPr>
            <w:tcW w:w="361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67302D" w:rsidRDefault="00F47395">
            <w:pPr>
              <w:jc w:val="center"/>
            </w:pPr>
            <w:r>
              <w:rPr>
                <w:rFonts w:eastAsia="TimesNewRomanPS-BoldMT" w:cs="TimesNewRomanPS-BoldMT"/>
                <w:b/>
                <w:bCs/>
                <w:sz w:val="24"/>
                <w:szCs w:val="24"/>
              </w:rPr>
              <w:t>Przegląd prac i rozmowa</w:t>
            </w:r>
          </w:p>
          <w:p w:rsidR="0067302D" w:rsidRDefault="00F47395">
            <w:pPr>
              <w:autoSpaceDE w:val="0"/>
              <w:jc w:val="center"/>
            </w:pPr>
            <w:r>
              <w:rPr>
                <w:rFonts w:eastAsia="TimesNewRomanPS-BoldMT" w:cs="TimesNewRomanPS-BoldMT"/>
                <w:b/>
                <w:bCs/>
                <w:sz w:val="24"/>
                <w:szCs w:val="24"/>
              </w:rPr>
              <w:t>kwalifikacyjna</w:t>
            </w:r>
          </w:p>
        </w:tc>
        <w:tc>
          <w:tcPr>
            <w:tcW w:w="561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67302D" w:rsidRDefault="00F47395">
            <w:r>
              <w:rPr>
                <w:sz w:val="24"/>
                <w:szCs w:val="24"/>
              </w:rPr>
              <w:t xml:space="preserve">Kandydat może uzyskać </w:t>
            </w:r>
            <w:r>
              <w:rPr>
                <w:b/>
                <w:sz w:val="24"/>
                <w:szCs w:val="24"/>
              </w:rPr>
              <w:t>maksymalnie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30 </w:t>
            </w:r>
            <w:r>
              <w:rPr>
                <w:b/>
                <w:sz w:val="24"/>
                <w:szCs w:val="24"/>
              </w:rPr>
              <w:t>punktów.</w:t>
            </w:r>
          </w:p>
        </w:tc>
      </w:tr>
      <w:tr w:rsidR="0067302D" w:rsidTr="00B67199">
        <w:trPr>
          <w:trHeight w:val="919"/>
        </w:trPr>
        <w:tc>
          <w:tcPr>
            <w:tcW w:w="9229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67302D" w:rsidRDefault="00F47395" w:rsidP="00B67199">
            <w:pPr>
              <w:jc w:val="both"/>
            </w:pPr>
            <w:r>
              <w:rPr>
                <w:sz w:val="24"/>
                <w:szCs w:val="24"/>
              </w:rPr>
              <w:t xml:space="preserve">Łącznie kandydat może otrzymać </w:t>
            </w:r>
            <w:r>
              <w:rPr>
                <w:b/>
                <w:sz w:val="24"/>
                <w:szCs w:val="24"/>
              </w:rPr>
              <w:t>maksymalnie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30</w:t>
            </w:r>
            <w:r>
              <w:rPr>
                <w:b/>
                <w:sz w:val="24"/>
                <w:szCs w:val="24"/>
              </w:rPr>
              <w:t xml:space="preserve"> punktów.</w:t>
            </w:r>
          </w:p>
          <w:p w:rsidR="0067302D" w:rsidRDefault="00F47395" w:rsidP="00B67199">
            <w:pPr>
              <w:jc w:val="both"/>
            </w:pPr>
            <w:r>
              <w:rPr>
                <w:sz w:val="24"/>
                <w:szCs w:val="24"/>
              </w:rPr>
              <w:t xml:space="preserve">Egzamin wstępny na kierunek architektura wnętrz jest zdany, jeżeli w trybie postępowania kwalifikacyjnego kandydat otrzyma </w:t>
            </w:r>
            <w:r>
              <w:rPr>
                <w:b/>
                <w:sz w:val="24"/>
                <w:szCs w:val="24"/>
              </w:rPr>
              <w:t>minimum 15 punktów.</w:t>
            </w:r>
          </w:p>
        </w:tc>
      </w:tr>
      <w:tr w:rsidR="0067302D" w:rsidTr="00B67199">
        <w:trPr>
          <w:trHeight w:val="1259"/>
        </w:trPr>
        <w:tc>
          <w:tcPr>
            <w:tcW w:w="9229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67302D" w:rsidRDefault="00F47395" w:rsidP="00B67199">
            <w:pPr>
              <w:jc w:val="both"/>
            </w:pPr>
            <w:r>
              <w:rPr>
                <w:sz w:val="24"/>
                <w:szCs w:val="24"/>
              </w:rPr>
              <w:t xml:space="preserve">W wypadku otrzymania przez kilku kandydatów identycznej liczby punktów w wyniku oceny egzaminu o pozycji kandydata na liście rankingowej decyduje Wydziałowa Komisja Rekrutacyjna, przyznając wyższą lokatę osobie, która otrzymała więcej punktów za </w:t>
            </w:r>
            <w:r>
              <w:rPr>
                <w:b/>
                <w:sz w:val="24"/>
                <w:szCs w:val="24"/>
              </w:rPr>
              <w:t>przegląd prac.</w:t>
            </w:r>
          </w:p>
        </w:tc>
      </w:tr>
    </w:tbl>
    <w:p w:rsidR="0067302D" w:rsidRDefault="0067302D">
      <w:pPr>
        <w:jc w:val="both"/>
      </w:pPr>
    </w:p>
    <w:sectPr w:rsidR="0067302D">
      <w:headerReference w:type="default" r:id="rId7"/>
      <w:footerReference w:type="default" r:id="rId8"/>
      <w:pgSz w:w="11906" w:h="16838"/>
      <w:pgMar w:top="1985" w:right="1417" w:bottom="851" w:left="1417" w:header="708" w:footer="425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8DE" w:rsidRDefault="00FE48DE">
      <w:r>
        <w:separator/>
      </w:r>
    </w:p>
  </w:endnote>
  <w:endnote w:type="continuationSeparator" w:id="0">
    <w:p w:rsidR="00FE48DE" w:rsidRDefault="00FE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charset w:val="EE"/>
    <w:family w:val="roman"/>
    <w:pitch w:val="default"/>
  </w:font>
  <w:font w:name="TimesNewRomanPS-Bold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02D" w:rsidRDefault="00F47395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0E14B2">
      <w:rPr>
        <w:noProof/>
      </w:rPr>
      <w:t>1</w:t>
    </w:r>
    <w:r>
      <w:fldChar w:fldCharType="end"/>
    </w:r>
  </w:p>
  <w:p w:rsidR="0067302D" w:rsidRDefault="006730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8DE" w:rsidRDefault="00FE48DE">
      <w:r>
        <w:separator/>
      </w:r>
    </w:p>
  </w:footnote>
  <w:footnote w:type="continuationSeparator" w:id="0">
    <w:p w:rsidR="00FE48DE" w:rsidRDefault="00FE4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4B2" w:rsidRPr="00CC47D4" w:rsidRDefault="000E14B2" w:rsidP="000E14B2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CC47D4">
      <w:rPr>
        <w:rFonts w:asciiTheme="minorHAnsi" w:hAnsiTheme="minorHAnsi" w:cstheme="minorHAnsi"/>
        <w:sz w:val="22"/>
        <w:szCs w:val="22"/>
      </w:rPr>
      <w:t xml:space="preserve">Załącznik nr </w:t>
    </w:r>
    <w:r>
      <w:rPr>
        <w:rFonts w:asciiTheme="minorHAnsi" w:hAnsiTheme="minorHAnsi" w:cstheme="minorHAnsi"/>
        <w:b/>
        <w:sz w:val="22"/>
        <w:szCs w:val="22"/>
      </w:rPr>
      <w:t>6B</w:t>
    </w:r>
  </w:p>
  <w:p w:rsidR="000E14B2" w:rsidRPr="00CC47D4" w:rsidRDefault="000E14B2" w:rsidP="000E14B2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CC47D4">
      <w:rPr>
        <w:rFonts w:asciiTheme="minorHAnsi" w:hAnsiTheme="minorHAnsi" w:cstheme="minorHAnsi"/>
        <w:sz w:val="22"/>
        <w:szCs w:val="22"/>
      </w:rPr>
      <w:t xml:space="preserve">do uchwały nr </w:t>
    </w:r>
    <w:r>
      <w:rPr>
        <w:rFonts w:asciiTheme="minorHAnsi" w:hAnsiTheme="minorHAnsi" w:cstheme="minorHAnsi"/>
        <w:sz w:val="22"/>
        <w:szCs w:val="22"/>
      </w:rPr>
      <w:t>21</w:t>
    </w:r>
    <w:r w:rsidRPr="00CC47D4">
      <w:rPr>
        <w:rFonts w:asciiTheme="minorHAnsi" w:hAnsiTheme="minorHAnsi" w:cstheme="minorHAnsi"/>
        <w:sz w:val="22"/>
        <w:szCs w:val="22"/>
      </w:rPr>
      <w:t>/2018</w:t>
    </w:r>
  </w:p>
  <w:p w:rsidR="000E14B2" w:rsidRPr="00CC47D4" w:rsidRDefault="000E14B2" w:rsidP="000E14B2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CC47D4">
      <w:rPr>
        <w:rFonts w:asciiTheme="minorHAnsi" w:hAnsiTheme="minorHAnsi" w:cstheme="minorHAnsi"/>
        <w:sz w:val="22"/>
        <w:szCs w:val="22"/>
      </w:rPr>
      <w:t xml:space="preserve">Senatu ASP w Krakowie z dnia </w:t>
    </w:r>
    <w:r>
      <w:rPr>
        <w:rFonts w:asciiTheme="minorHAnsi" w:hAnsiTheme="minorHAnsi" w:cstheme="minorHAnsi"/>
        <w:sz w:val="22"/>
        <w:szCs w:val="22"/>
      </w:rPr>
      <w:t>23</w:t>
    </w:r>
    <w:r w:rsidRPr="00CC47D4">
      <w:rPr>
        <w:rFonts w:asciiTheme="minorHAnsi" w:hAnsiTheme="minorHAnsi" w:cstheme="minorHAnsi"/>
        <w:sz w:val="22"/>
        <w:szCs w:val="22"/>
      </w:rPr>
      <w:t xml:space="preserve"> maja 2018 r.</w:t>
    </w:r>
  </w:p>
  <w:p w:rsidR="0067302D" w:rsidRPr="000E14B2" w:rsidRDefault="0067302D" w:rsidP="000E14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02D"/>
    <w:rsid w:val="00091EE2"/>
    <w:rsid w:val="000E14B2"/>
    <w:rsid w:val="003121CA"/>
    <w:rsid w:val="003F1F72"/>
    <w:rsid w:val="00471499"/>
    <w:rsid w:val="0067302D"/>
    <w:rsid w:val="008B238A"/>
    <w:rsid w:val="009D707C"/>
    <w:rsid w:val="00B67199"/>
    <w:rsid w:val="00F47395"/>
    <w:rsid w:val="00FE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keepNext/>
      <w:widowControl w:val="0"/>
      <w:shd w:val="clear" w:color="auto" w:fill="FFFFFF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</w:style>
  <w:style w:type="character" w:customStyle="1" w:styleId="NagwekZnak">
    <w:name w:val="Nagłówek Znak"/>
    <w:basedOn w:val="Domylnaczcionkaakapitu1"/>
    <w:qFormat/>
    <w:rPr>
      <w:rFonts w:ascii="Calibri" w:eastAsia="Calibri" w:hAnsi="Calibri"/>
      <w:sz w:val="22"/>
    </w:rPr>
  </w:style>
  <w:style w:type="character" w:customStyle="1" w:styleId="StopkaZnak">
    <w:name w:val="Stopka Znak"/>
    <w:basedOn w:val="Domylnaczcionkaakapitu1"/>
    <w:qFormat/>
    <w:rPr>
      <w:rFonts w:ascii="Calibri" w:eastAsia="Calibri" w:hAnsi="Calibri"/>
      <w:sz w:val="22"/>
    </w:rPr>
  </w:style>
  <w:style w:type="character" w:customStyle="1" w:styleId="TekstdymkaZnak">
    <w:name w:val="Tekst dymka Znak"/>
    <w:basedOn w:val="Domylnaczcionkaakapitu1"/>
    <w:qFormat/>
    <w:rPr>
      <w:rFonts w:ascii="Tahoma" w:eastAsia="Calibri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1"/>
    <w:qFormat/>
    <w:rPr>
      <w:rFonts w:eastAsia="Times New Roman"/>
      <w:sz w:val="28"/>
      <w:szCs w:val="20"/>
      <w:lang w:eastAsia="pl-PL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">
    <w:name w:val="Nagłówek1"/>
    <w:basedOn w:val="Normalny"/>
    <w:qFormat/>
    <w:pPr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pPr>
      <w:ind w:left="720"/>
    </w:p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keepNext/>
      <w:widowControl w:val="0"/>
      <w:shd w:val="clear" w:color="auto" w:fill="FFFFFF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</w:style>
  <w:style w:type="character" w:customStyle="1" w:styleId="NagwekZnak">
    <w:name w:val="Nagłówek Znak"/>
    <w:basedOn w:val="Domylnaczcionkaakapitu1"/>
    <w:qFormat/>
    <w:rPr>
      <w:rFonts w:ascii="Calibri" w:eastAsia="Calibri" w:hAnsi="Calibri"/>
      <w:sz w:val="22"/>
    </w:rPr>
  </w:style>
  <w:style w:type="character" w:customStyle="1" w:styleId="StopkaZnak">
    <w:name w:val="Stopka Znak"/>
    <w:basedOn w:val="Domylnaczcionkaakapitu1"/>
    <w:qFormat/>
    <w:rPr>
      <w:rFonts w:ascii="Calibri" w:eastAsia="Calibri" w:hAnsi="Calibri"/>
      <w:sz w:val="22"/>
    </w:rPr>
  </w:style>
  <w:style w:type="character" w:customStyle="1" w:styleId="TekstdymkaZnak">
    <w:name w:val="Tekst dymka Znak"/>
    <w:basedOn w:val="Domylnaczcionkaakapitu1"/>
    <w:qFormat/>
    <w:rPr>
      <w:rFonts w:ascii="Tahoma" w:eastAsia="Calibri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1"/>
    <w:qFormat/>
    <w:rPr>
      <w:rFonts w:eastAsia="Times New Roman"/>
      <w:sz w:val="28"/>
      <w:szCs w:val="20"/>
      <w:lang w:eastAsia="pl-PL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">
    <w:name w:val="Nagłówek1"/>
    <w:basedOn w:val="Normalny"/>
    <w:qFormat/>
    <w:pPr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pPr>
      <w:ind w:left="720"/>
    </w:p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emroziak</dc:creator>
  <cp:lastModifiedBy>Elżbieta Mroziak</cp:lastModifiedBy>
  <cp:revision>5</cp:revision>
  <cp:lastPrinted>2018-05-24T07:41:00Z</cp:lastPrinted>
  <dcterms:created xsi:type="dcterms:W3CDTF">2018-04-05T11:18:00Z</dcterms:created>
  <dcterms:modified xsi:type="dcterms:W3CDTF">2018-05-24T07:41:00Z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