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2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5040"/>
        <w:gridCol w:w="4172"/>
      </w:tblGrid>
      <w:tr w:rsidR="00F644A7">
        <w:tc>
          <w:tcPr>
            <w:tcW w:w="9212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</w:tcPr>
          <w:p w:rsidR="00F644A7" w:rsidRDefault="00155D5F">
            <w:pPr>
              <w:spacing w:before="240"/>
              <w:jc w:val="center"/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ZASADY PRZYJĘĆ NA I ROK STUDIÓW</w:t>
            </w:r>
          </w:p>
          <w:p w:rsidR="00F644A7" w:rsidRDefault="00155D5F">
            <w:pPr>
              <w:jc w:val="center"/>
            </w:pPr>
            <w:r>
              <w:rPr>
                <w:b/>
                <w:sz w:val="24"/>
                <w:szCs w:val="24"/>
              </w:rPr>
              <w:t>W ROKU AKADEMICKIM 2019/20</w:t>
            </w:r>
          </w:p>
          <w:p w:rsidR="00F644A7" w:rsidRDefault="00F644A7">
            <w:pPr>
              <w:jc w:val="center"/>
              <w:rPr>
                <w:sz w:val="24"/>
                <w:szCs w:val="24"/>
              </w:rPr>
            </w:pPr>
          </w:p>
        </w:tc>
      </w:tr>
      <w:tr w:rsidR="00F644A7">
        <w:trPr>
          <w:trHeight w:val="425"/>
        </w:trPr>
        <w:tc>
          <w:tcPr>
            <w:tcW w:w="504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center"/>
            </w:pPr>
            <w:r>
              <w:rPr>
                <w:sz w:val="24"/>
                <w:szCs w:val="24"/>
              </w:rPr>
              <w:t>Wydział</w:t>
            </w:r>
          </w:p>
        </w:tc>
        <w:tc>
          <w:tcPr>
            <w:tcW w:w="417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center"/>
            </w:pPr>
            <w:r>
              <w:rPr>
                <w:sz w:val="24"/>
                <w:szCs w:val="24"/>
              </w:rPr>
              <w:t>Architektury Wnętrz</w:t>
            </w:r>
          </w:p>
        </w:tc>
      </w:tr>
      <w:tr w:rsidR="00F644A7">
        <w:trPr>
          <w:trHeight w:val="425"/>
        </w:trPr>
        <w:tc>
          <w:tcPr>
            <w:tcW w:w="504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center"/>
            </w:pPr>
            <w:r>
              <w:rPr>
                <w:sz w:val="24"/>
                <w:szCs w:val="24"/>
              </w:rPr>
              <w:t>Kierunek</w:t>
            </w:r>
          </w:p>
        </w:tc>
        <w:tc>
          <w:tcPr>
            <w:tcW w:w="417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center"/>
            </w:pPr>
            <w:r>
              <w:rPr>
                <w:sz w:val="24"/>
                <w:szCs w:val="24"/>
              </w:rPr>
              <w:t>architektura wnętrz</w:t>
            </w:r>
          </w:p>
        </w:tc>
      </w:tr>
      <w:tr w:rsidR="00F644A7">
        <w:trPr>
          <w:trHeight w:val="425"/>
        </w:trPr>
        <w:tc>
          <w:tcPr>
            <w:tcW w:w="504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center"/>
            </w:pPr>
            <w:r>
              <w:rPr>
                <w:sz w:val="24"/>
                <w:szCs w:val="24"/>
              </w:rPr>
              <w:t>Poziom i forma studiów</w:t>
            </w:r>
          </w:p>
        </w:tc>
        <w:tc>
          <w:tcPr>
            <w:tcW w:w="417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center"/>
            </w:pPr>
            <w:r>
              <w:rPr>
                <w:sz w:val="24"/>
                <w:szCs w:val="24"/>
              </w:rPr>
              <w:t>studia pierwszego stopnia, stacjonarne</w:t>
            </w:r>
          </w:p>
        </w:tc>
      </w:tr>
      <w:tr w:rsidR="00F644A7">
        <w:trPr>
          <w:trHeight w:val="425"/>
        </w:trPr>
        <w:tc>
          <w:tcPr>
            <w:tcW w:w="504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center"/>
            </w:pPr>
            <w:r>
              <w:rPr>
                <w:sz w:val="24"/>
                <w:szCs w:val="24"/>
              </w:rPr>
              <w:t>Czas trwania studiów</w:t>
            </w:r>
          </w:p>
        </w:tc>
        <w:tc>
          <w:tcPr>
            <w:tcW w:w="417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center"/>
            </w:pPr>
            <w:r>
              <w:rPr>
                <w:sz w:val="24"/>
                <w:szCs w:val="24"/>
              </w:rPr>
              <w:t>7 semestrów</w:t>
            </w:r>
          </w:p>
        </w:tc>
      </w:tr>
    </w:tbl>
    <w:p w:rsidR="00F644A7" w:rsidRDefault="00F644A7">
      <w:pPr>
        <w:rPr>
          <w:sz w:val="24"/>
        </w:rPr>
      </w:pPr>
    </w:p>
    <w:tbl>
      <w:tblPr>
        <w:tblW w:w="9212" w:type="dxa"/>
        <w:tblBorders>
          <w:top w:val="double" w:sz="2" w:space="0" w:color="00000A"/>
          <w:left w:val="double" w:sz="2" w:space="0" w:color="00000A"/>
          <w:bottom w:val="double" w:sz="2" w:space="0" w:color="00000A"/>
          <w:right w:val="double" w:sz="2" w:space="0" w:color="00000A"/>
          <w:insideH w:val="double" w:sz="2" w:space="0" w:color="00000A"/>
          <w:insideV w:val="double" w:sz="2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2768"/>
        <w:gridCol w:w="6444"/>
      </w:tblGrid>
      <w:tr w:rsidR="00F644A7">
        <w:trPr>
          <w:trHeight w:val="625"/>
        </w:trPr>
        <w:tc>
          <w:tcPr>
            <w:tcW w:w="9212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center"/>
            </w:pPr>
            <w:r>
              <w:rPr>
                <w:b/>
                <w:sz w:val="24"/>
                <w:szCs w:val="24"/>
              </w:rPr>
              <w:t>EGZAMIN WSTĘPNY</w:t>
            </w:r>
          </w:p>
        </w:tc>
      </w:tr>
      <w:tr w:rsidR="00F644A7">
        <w:trPr>
          <w:trHeight w:val="2812"/>
        </w:trPr>
        <w:tc>
          <w:tcPr>
            <w:tcW w:w="276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center"/>
            </w:pPr>
            <w:r>
              <w:rPr>
                <w:b/>
                <w:sz w:val="24"/>
                <w:szCs w:val="24"/>
              </w:rPr>
              <w:t xml:space="preserve">Przegląd i ocena </w:t>
            </w:r>
            <w:r>
              <w:rPr>
                <w:b/>
                <w:sz w:val="24"/>
                <w:szCs w:val="24"/>
              </w:rPr>
              <w:t>prac, rozmowa z kandydatem</w:t>
            </w:r>
          </w:p>
        </w:tc>
        <w:tc>
          <w:tcPr>
            <w:tcW w:w="64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both"/>
              <w:rPr>
                <w:rFonts w:eastAsia="TimesNewRomanPSMT" w:cs="TimesNewRomanPSMT"/>
                <w:sz w:val="24"/>
                <w:szCs w:val="24"/>
              </w:rPr>
            </w:pPr>
            <w:r>
              <w:rPr>
                <w:rFonts w:eastAsia="TimesNewRomanPSMT" w:cs="TimesNewRomanPSMT"/>
                <w:sz w:val="24"/>
                <w:szCs w:val="24"/>
              </w:rPr>
              <w:t>Kandydaci prezentują samodzielnie wykonane prace artystyczne i projektowe w oryginale (6 prac w kolorze – technika dowolna, 10 prac rysunkowych) oraz portfolio zawierające dokumentację innych działań artystycznych np. projektowyc</w:t>
            </w:r>
            <w:r>
              <w:rPr>
                <w:rFonts w:eastAsia="TimesNewRomanPSMT" w:cs="TimesNewRomanPSMT"/>
                <w:sz w:val="24"/>
                <w:szCs w:val="24"/>
              </w:rPr>
              <w:t>h, fotograficznych czy multimedialnych będących dowodem zainteresowania kierunkiem studiów. Prace prezentowane przed Komisją Rekrutacyjną powinny być czytelnie podpisane imieniem</w:t>
            </w:r>
            <w:r>
              <w:rPr>
                <w:rFonts w:eastAsia="TimesNewRomanPSMT" w:cs="TimesNewRomanPSMT"/>
                <w:sz w:val="24"/>
                <w:szCs w:val="24"/>
              </w:rPr>
              <w:br/>
              <w:t>i nazwiskiem kandydata oraz datowane. Komisja rozpatruje jedynie teczki, któr</w:t>
            </w:r>
            <w:r>
              <w:rPr>
                <w:rFonts w:eastAsia="TimesNewRomanPSMT" w:cs="TimesNewRomanPSMT"/>
                <w:sz w:val="24"/>
                <w:szCs w:val="24"/>
              </w:rPr>
              <w:t>e zawierają wymaganą ilość prac.</w:t>
            </w:r>
          </w:p>
        </w:tc>
      </w:tr>
      <w:tr w:rsidR="00F644A7">
        <w:trPr>
          <w:trHeight w:val="452"/>
        </w:trPr>
        <w:tc>
          <w:tcPr>
            <w:tcW w:w="9212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center"/>
            </w:pPr>
            <w:r>
              <w:rPr>
                <w:b/>
                <w:sz w:val="24"/>
                <w:szCs w:val="24"/>
              </w:rPr>
              <w:t>PUNKTACJA</w:t>
            </w:r>
          </w:p>
        </w:tc>
      </w:tr>
      <w:tr w:rsidR="00F644A7">
        <w:trPr>
          <w:trHeight w:val="954"/>
        </w:trPr>
        <w:tc>
          <w:tcPr>
            <w:tcW w:w="276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center"/>
            </w:pPr>
            <w:r>
              <w:rPr>
                <w:b/>
                <w:sz w:val="24"/>
                <w:szCs w:val="24"/>
              </w:rPr>
              <w:t>Przegląd i ocena prac, rozmowa z kandydatem</w:t>
            </w:r>
          </w:p>
        </w:tc>
        <w:tc>
          <w:tcPr>
            <w:tcW w:w="644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both"/>
            </w:pPr>
            <w:r>
              <w:rPr>
                <w:sz w:val="24"/>
                <w:szCs w:val="24"/>
              </w:rPr>
              <w:t xml:space="preserve">Kandydat może uzyskać </w:t>
            </w:r>
            <w:r>
              <w:rPr>
                <w:b/>
                <w:sz w:val="24"/>
                <w:szCs w:val="24"/>
              </w:rPr>
              <w:t>maksymalnie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30 punktów.</w:t>
            </w:r>
          </w:p>
          <w:p w:rsidR="00F644A7" w:rsidRDefault="00155D5F">
            <w:pPr>
              <w:jc w:val="both"/>
            </w:pPr>
            <w:r>
              <w:rPr>
                <w:rFonts w:ascii="TimesNewRomanPSMT" w:eastAsia="TimesNewRomanPSMT" w:hAnsi="TimesNewRomanPSMT" w:cs="TimesNewRomanPSMT"/>
                <w:sz w:val="24"/>
                <w:szCs w:val="24"/>
              </w:rPr>
              <w:t>Warunkiem zaliczenia egzaminu jest uzyskanie przez</w:t>
            </w:r>
            <w:r>
              <w:rPr>
                <w:sz w:val="24"/>
                <w:szCs w:val="24"/>
              </w:rPr>
              <w:t xml:space="preserve"> kandydata </w:t>
            </w:r>
            <w:r>
              <w:rPr>
                <w:b/>
                <w:sz w:val="24"/>
                <w:szCs w:val="24"/>
              </w:rPr>
              <w:t>minimum 15 punktów.</w:t>
            </w:r>
          </w:p>
        </w:tc>
      </w:tr>
      <w:tr w:rsidR="00F644A7">
        <w:trPr>
          <w:trHeight w:val="1516"/>
        </w:trPr>
        <w:tc>
          <w:tcPr>
            <w:tcW w:w="9212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both"/>
            </w:pPr>
            <w:r>
              <w:rPr>
                <w:rFonts w:ascii="TimesNewRomanPSMT" w:eastAsia="TimesNewRomanPSMT" w:hAnsi="TimesNewRomanPSMT" w:cs="TimesNewRomanPSMT"/>
                <w:sz w:val="24"/>
                <w:szCs w:val="24"/>
              </w:rPr>
              <w:t xml:space="preserve">Ocenie podlega wynik przeprowadzonej </w:t>
            </w:r>
            <w:r>
              <w:rPr>
                <w:rFonts w:ascii="TimesNewRomanPSMT" w:eastAsia="TimesNewRomanPSMT" w:hAnsi="TimesNewRomanPSMT" w:cs="TimesNewRomanPSMT"/>
                <w:sz w:val="24"/>
                <w:szCs w:val="24"/>
              </w:rPr>
              <w:t>rozmowy kwalifikacyjnej w oparciu</w:t>
            </w:r>
            <w:r>
              <w:rPr>
                <w:rFonts w:ascii="TimesNewRomanPSMT" w:eastAsia="TimesNewRomanPSMT" w:hAnsi="TimesNewRomanPSMT" w:cs="TimesNewRomanPSMT"/>
                <w:sz w:val="24"/>
                <w:szCs w:val="24"/>
              </w:rPr>
              <w:br/>
              <w:t>o przedstawione portfolio i teczkę z wybranymi pracami artystycznymi i projektowymi</w:t>
            </w:r>
            <w:r>
              <w:rPr>
                <w:rFonts w:ascii="TimesNewRomanPSMT" w:eastAsia="TimesNewRomanPSMT" w:hAnsi="TimesNewRomanPSMT" w:cs="TimesNewRomanPSMT"/>
                <w:sz w:val="24"/>
                <w:szCs w:val="24"/>
              </w:rPr>
              <w:br/>
              <w:t>w różnych technikach</w:t>
            </w:r>
            <w:r>
              <w:rPr>
                <w:sz w:val="24"/>
                <w:szCs w:val="24"/>
              </w:rPr>
              <w:t>.</w:t>
            </w:r>
          </w:p>
          <w:p w:rsidR="00F644A7" w:rsidRDefault="00155D5F">
            <w:pPr>
              <w:jc w:val="both"/>
            </w:pPr>
            <w:r>
              <w:rPr>
                <w:rFonts w:ascii="TimesNewRomanPSMT" w:eastAsia="TimesNewRomanPSMT" w:hAnsi="TimesNewRomanPSMT" w:cs="TimesNewRomanPSMT"/>
                <w:sz w:val="24"/>
                <w:szCs w:val="24"/>
              </w:rPr>
              <w:t>Egzamin wstępny na kierunek architektura wnętrz jest zdany, jeżeli w trybie postępowania kwalifikacyjnego kandydat o</w:t>
            </w:r>
            <w:r>
              <w:rPr>
                <w:rFonts w:ascii="TimesNewRomanPSMT" w:eastAsia="TimesNewRomanPSMT" w:hAnsi="TimesNewRomanPSMT" w:cs="TimesNewRomanPSMT"/>
                <w:sz w:val="24"/>
                <w:szCs w:val="24"/>
              </w:rPr>
              <w:t>trzyma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minimum 15 punktów.</w:t>
            </w:r>
          </w:p>
        </w:tc>
      </w:tr>
      <w:tr w:rsidR="00F644A7">
        <w:trPr>
          <w:trHeight w:val="1066"/>
        </w:trPr>
        <w:tc>
          <w:tcPr>
            <w:tcW w:w="9212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left w:w="100" w:type="dxa"/>
            </w:tcMar>
            <w:vAlign w:val="center"/>
          </w:tcPr>
          <w:p w:rsidR="00F644A7" w:rsidRDefault="00155D5F">
            <w:pPr>
              <w:jc w:val="both"/>
            </w:pPr>
            <w:r>
              <w:rPr>
                <w:rFonts w:ascii="TimesNewRomanPSMT" w:eastAsia="TimesNewRomanPSMT" w:hAnsi="TimesNewRomanPSMT" w:cs="TimesNewRomanPSMT"/>
                <w:sz w:val="24"/>
                <w:szCs w:val="24"/>
              </w:rPr>
              <w:t xml:space="preserve">W wypadku otrzymania przez kilku kandydatów identycznej liczby punktów w wyniku oceny egzaminu o pozycji kandydata na liście rankingowej decyduje Wydziałowa Komisja Rekrutacyjna, przyznając wyższą lokatę osobie, która otrzymała </w:t>
            </w:r>
            <w:r>
              <w:rPr>
                <w:rFonts w:ascii="TimesNewRomanPSMT" w:eastAsia="TimesNewRomanPSMT" w:hAnsi="TimesNewRomanPSMT" w:cs="TimesNewRomanPSMT"/>
                <w:sz w:val="24"/>
                <w:szCs w:val="24"/>
              </w:rPr>
              <w:t xml:space="preserve">więcej punktów za </w:t>
            </w:r>
            <w:r>
              <w:rPr>
                <w:rFonts w:eastAsia="TimesNewRomanPS-BoldMT" w:cs="TimesNewRomanPS-BoldMT"/>
                <w:b/>
                <w:bCs/>
                <w:sz w:val="24"/>
                <w:szCs w:val="24"/>
              </w:rPr>
              <w:t>przegląd prac.</w:t>
            </w:r>
          </w:p>
        </w:tc>
      </w:tr>
    </w:tbl>
    <w:p w:rsidR="00F644A7" w:rsidRDefault="00155D5F">
      <w:pPr>
        <w:jc w:val="both"/>
      </w:pPr>
      <w:r>
        <w:t xml:space="preserve"> </w:t>
      </w:r>
    </w:p>
    <w:sectPr w:rsidR="00F644A7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D5F" w:rsidRDefault="00155D5F">
      <w:r>
        <w:separator/>
      </w:r>
    </w:p>
  </w:endnote>
  <w:endnote w:type="continuationSeparator" w:id="0">
    <w:p w:rsidR="00155D5F" w:rsidRDefault="0015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TimesNewRomanPS-Bold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4A7" w:rsidRDefault="00155D5F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CC47D4">
      <w:rPr>
        <w:noProof/>
      </w:rPr>
      <w:t>1</w:t>
    </w:r>
    <w:r>
      <w:fldChar w:fldCharType="end"/>
    </w:r>
  </w:p>
  <w:p w:rsidR="00F644A7" w:rsidRDefault="00F644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D5F" w:rsidRDefault="00155D5F">
      <w:r>
        <w:separator/>
      </w:r>
    </w:p>
  </w:footnote>
  <w:footnote w:type="continuationSeparator" w:id="0">
    <w:p w:rsidR="00155D5F" w:rsidRDefault="00155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4A7" w:rsidRPr="00CC47D4" w:rsidRDefault="00155D5F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CC47D4">
      <w:rPr>
        <w:rFonts w:asciiTheme="minorHAnsi" w:hAnsiTheme="minorHAnsi" w:cstheme="minorHAnsi"/>
        <w:sz w:val="22"/>
        <w:szCs w:val="22"/>
      </w:rPr>
      <w:t xml:space="preserve">Załącznik nr </w:t>
    </w:r>
    <w:r w:rsidRPr="00CC47D4">
      <w:rPr>
        <w:rFonts w:asciiTheme="minorHAnsi" w:hAnsiTheme="minorHAnsi" w:cstheme="minorHAnsi"/>
        <w:b/>
        <w:sz w:val="22"/>
        <w:szCs w:val="22"/>
      </w:rPr>
      <w:t>6A</w:t>
    </w:r>
  </w:p>
  <w:p w:rsidR="00F644A7" w:rsidRPr="00CC47D4" w:rsidRDefault="00155D5F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CC47D4">
      <w:rPr>
        <w:rFonts w:asciiTheme="minorHAnsi" w:hAnsiTheme="minorHAnsi" w:cstheme="minorHAnsi"/>
        <w:sz w:val="22"/>
        <w:szCs w:val="22"/>
      </w:rPr>
      <w:t xml:space="preserve">do uchwały nr </w:t>
    </w:r>
    <w:r w:rsidR="00CC47D4">
      <w:rPr>
        <w:rFonts w:asciiTheme="minorHAnsi" w:hAnsiTheme="minorHAnsi" w:cstheme="minorHAnsi"/>
        <w:sz w:val="22"/>
        <w:szCs w:val="22"/>
      </w:rPr>
      <w:t>21</w:t>
    </w:r>
    <w:r w:rsidRPr="00CC47D4">
      <w:rPr>
        <w:rFonts w:asciiTheme="minorHAnsi" w:hAnsiTheme="minorHAnsi" w:cstheme="minorHAnsi"/>
        <w:sz w:val="22"/>
        <w:szCs w:val="22"/>
      </w:rPr>
      <w:t>/2018</w:t>
    </w:r>
  </w:p>
  <w:p w:rsidR="00F644A7" w:rsidRPr="00CC47D4" w:rsidRDefault="00155D5F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CC47D4">
      <w:rPr>
        <w:rFonts w:asciiTheme="minorHAnsi" w:hAnsiTheme="minorHAnsi" w:cstheme="minorHAnsi"/>
        <w:sz w:val="22"/>
        <w:szCs w:val="22"/>
      </w:rPr>
      <w:t xml:space="preserve">Senatu ASP w Krakowie z dnia </w:t>
    </w:r>
    <w:r w:rsidR="00CC47D4">
      <w:rPr>
        <w:rFonts w:asciiTheme="minorHAnsi" w:hAnsiTheme="minorHAnsi" w:cstheme="minorHAnsi"/>
        <w:sz w:val="22"/>
        <w:szCs w:val="22"/>
      </w:rPr>
      <w:t>23</w:t>
    </w:r>
    <w:r w:rsidRPr="00CC47D4">
      <w:rPr>
        <w:rFonts w:asciiTheme="minorHAnsi" w:hAnsiTheme="minorHAnsi" w:cstheme="minorHAnsi"/>
        <w:sz w:val="22"/>
        <w:szCs w:val="22"/>
      </w:rPr>
      <w:t xml:space="preserve"> maja 2018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4A7"/>
    <w:rsid w:val="00155D5F"/>
    <w:rsid w:val="00CC47D4"/>
    <w:rsid w:val="00F6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keepNext/>
      <w:widowControl w:val="0"/>
      <w:shd w:val="clear" w:color="auto" w:fill="FFFFFF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qFormat/>
    <w:rPr>
      <w:rFonts w:ascii="Calibri" w:eastAsia="Calibri" w:hAnsi="Calibri"/>
      <w:sz w:val="22"/>
    </w:rPr>
  </w:style>
  <w:style w:type="character" w:customStyle="1" w:styleId="StopkaZnak">
    <w:name w:val="Stopka Znak"/>
    <w:qFormat/>
    <w:rPr>
      <w:rFonts w:ascii="Calibri" w:eastAsia="Calibri" w:hAnsi="Calibri"/>
      <w:sz w:val="22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1343</Characters>
  <Application>Microsoft Office Word</Application>
  <DocSecurity>0</DocSecurity>
  <Lines>11</Lines>
  <Paragraphs>3</Paragraphs>
  <ScaleCrop>false</ScaleCrop>
  <Company>Microsoft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emroziak</dc:creator>
  <dc:description/>
  <cp:lastModifiedBy>Elżbieta Mroziak</cp:lastModifiedBy>
  <cp:revision>6</cp:revision>
  <cp:lastPrinted>2014-03-18T11:07:00Z</cp:lastPrinted>
  <dcterms:created xsi:type="dcterms:W3CDTF">2017-01-10T11:09:00Z</dcterms:created>
  <dcterms:modified xsi:type="dcterms:W3CDTF">2018-05-24T07:41:00Z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